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METHOD STATEMENT</w:t>
      </w:r>
    </w:p>
    <w:p>
      <w:pPr>
        <w:spacing w:after="240"/>
      </w:pPr>
      <w:r>
        <w:rPr>
          <w:rFonts w:ascii="Aptos" w:hAnsi="Aptos"/>
          <w:b/>
          <w:color w:val="071E33"/>
          <w:sz w:val="50"/>
        </w:rPr>
        <w:t>ROUTING AND SEALING OF NON-STRUCTURAL CRACKS</w:t>
      </w:r>
    </w:p>
    <w:p>
      <w:pPr>
        <w:spacing w:after="480"/>
      </w:pPr>
      <w:r>
        <w:rPr>
          <w:rFonts w:ascii="Aptos" w:hAnsi="Aptos"/>
          <w:b w:val="0"/>
          <w:color w:val="5E6B78"/>
          <w:sz w:val="26"/>
        </w:rPr>
        <w:t>Routing dan Sealing Retak Bukan Struktur</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Document Information</w:t>
            </w:r>
          </w:p>
        </w:tc>
        <w:tc>
          <w:tcPr>
            <w:tcW w:type="dxa" w:w="6803"/>
            <w:shd w:fill="071E33"/>
            <w:tcMar>
              <w:top w:w="120" w:type="dxa"/>
              <w:start w:w="140" w:type="dxa"/>
              <w:bottom w:w="120" w:type="dxa"/>
              <w:end w:w="140" w:type="dxa"/>
            </w:tcMar>
            <w:vAlign w:val="center"/>
          </w:tcPr>
          <w:p>
            <w:pPr>
              <w:spacing w:after="0"/>
              <w:jc w:val="left"/>
            </w:pPr>
            <w:r/>
            <w:r>
              <w:rPr>
                <w:rFonts w:ascii="Aptos" w:hAnsi="Aptos"/>
                <w:b/>
                <w:color w:val="FFFFFF"/>
                <w:sz w:val="17"/>
              </w:rPr>
              <w:t>Details</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Project</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PROJECT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Employer / Client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Main Contractor</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Consultant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CONSULTANT ENGINEER / ARCHITECT]</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Document No.</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MS-CRP-010</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Revision / Date</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r>
              <w:rPr>
                <w:rFonts w:ascii="Aptos" w:hAnsi="Aptos"/>
                <w:b/>
                <w:color w:val="071E33"/>
                <w:sz w:val="18"/>
              </w:rPr>
              <w:t>IMPORTANT: This is an editable starting template. A competent project team must adapt and approve it against the contract, approved drawings, project specification, actual site conditions, approved materials, manufacturer instructions, applicable Malaysian legal requirements and the Consultant’s submission procedure before work starts.</w:t>
            </w:r>
          </w:p>
        </w:tc>
      </w:tr>
    </w:tbl>
    <w:p>
      <w:r>
        <w:br w:type="page"/>
      </w:r>
    </w:p>
    <w:p>
      <w:pPr>
        <w:pStyle w:val="Heading1"/>
        <w:keepNext/>
        <w:spacing w:before="240" w:after="100"/>
      </w:pPr>
      <w:r>
        <w:rPr>
          <w:rFonts w:ascii="Aptos" w:hAnsi="Aptos"/>
          <w:b/>
          <w:color w:val="071E33"/>
          <w:sz w:val="28"/>
        </w:rPr>
        <w:t>DOCUMENT CONTROL</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r>
              <w:rPr>
                <w:rFonts w:ascii="Aptos" w:hAnsi="Aptos"/>
                <w:b/>
                <w:color w:val="FFFFFF"/>
                <w:sz w:val="17"/>
              </w:rPr>
              <w:t>Date</w:t>
            </w:r>
          </w:p>
        </w:tc>
        <w:tc>
          <w:tcPr>
            <w:tcW w:type="dxa" w:w="2494"/>
            <w:shd w:fill="071E33"/>
            <w:tcMar>
              <w:top w:w="120" w:type="dxa"/>
              <w:start w:w="140" w:type="dxa"/>
              <w:bottom w:w="120" w:type="dxa"/>
              <w:end w:w="140" w:type="dxa"/>
            </w:tcMar>
            <w:vAlign w:val="center"/>
          </w:tcPr>
          <w:p>
            <w:pPr>
              <w:spacing w:after="0"/>
              <w:jc w:val="left"/>
            </w:pPr>
            <w:r/>
            <w:r>
              <w:rPr>
                <w:rFonts w:ascii="Aptos" w:hAnsi="Aptos"/>
                <w:b/>
                <w:color w:val="FFFFFF"/>
                <w:sz w:val="17"/>
              </w:rPr>
              <w:t>Description</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Prepared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Checked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Approved by</w:t>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r>
              <w:rPr>
                <w:rFonts w:ascii="Aptos" w:hAnsi="Aptos"/>
                <w:b w:val="0"/>
                <w:color w:val="263442"/>
                <w:sz w:val="17"/>
              </w:rPr>
              <w:t>[Date]</w:t>
            </w:r>
          </w:p>
        </w:tc>
        <w:tc>
          <w:tcPr>
            <w:tcW w:type="dxa" w:w="2494"/>
            <w:tcMar>
              <w:top w:w="120" w:type="dxa"/>
              <w:start w:w="140" w:type="dxa"/>
              <w:bottom w:w="120" w:type="dxa"/>
              <w:end w:w="140" w:type="dxa"/>
            </w:tcMar>
            <w:vAlign w:val="center"/>
          </w:tcPr>
          <w:p>
            <w:pPr>
              <w:spacing w:after="0"/>
              <w:jc w:val="left"/>
            </w:pPr>
            <w:r/>
            <w:r>
              <w:rPr>
                <w:rFonts w:ascii="Aptos" w:hAnsi="Aptos"/>
                <w:b w:val="0"/>
                <w:color w:val="263442"/>
                <w:sz w:val="17"/>
              </w:rPr>
              <w:t>Initial submission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SUBMISSION STATUS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r>
              <w:rPr>
                <w:rFonts w:ascii="Aptos" w:hAnsi="Aptos"/>
                <w:b/>
                <w:color w:val="FFFFFF"/>
                <w:sz w:val="17"/>
              </w:rPr>
              <w:t>Consultant Review</w:t>
            </w:r>
          </w:p>
        </w:tc>
        <w:tc>
          <w:tcPr>
            <w:tcW w:type="dxa" w:w="5386"/>
            <w:shd w:fill="071E33"/>
            <w:tcMar>
              <w:top w:w="120" w:type="dxa"/>
              <w:start w:w="140" w:type="dxa"/>
              <w:bottom w:w="120" w:type="dxa"/>
              <w:end w:w="140" w:type="dxa"/>
            </w:tcMar>
            <w:vAlign w:val="center"/>
          </w:tcPr>
          <w:p>
            <w:pPr>
              <w:spacing w:after="0"/>
              <w:jc w:val="left"/>
            </w:pPr>
            <w:r/>
            <w:r>
              <w:rPr>
                <w:rFonts w:ascii="Aptos" w:hAnsi="Aptos"/>
                <w:b/>
                <w:color w:val="FFFFFF"/>
                <w:sz w:val="17"/>
              </w:rPr>
              <w:t>Tick / Comment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Approved</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with comments</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Revise and resubmit</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Rejected</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PURPOSE</w:t>
      </w:r>
    </w:p>
    <w:p>
      <w:r>
        <w:rPr>
          <w:rFonts w:ascii="Aptos" w:hAnsi="Aptos"/>
          <w:b w:val="0"/>
          <w:color w:val="263442"/>
          <w:sz w:val="19"/>
        </w:rPr>
        <w:t>This method statement defines the proposed controls, sequence, resources and inspection requirements for routing and sealing of non-structural cracks so that the work is executed safely, consistently and in accordance with the approved project requirements.</w:t>
      </w:r>
    </w:p>
    <w:p>
      <w:pPr>
        <w:pStyle w:val="Heading1"/>
        <w:keepNext/>
        <w:spacing w:before="240" w:after="100"/>
      </w:pPr>
      <w:r>
        <w:rPr>
          <w:rFonts w:ascii="Aptos" w:hAnsi="Aptos"/>
          <w:b/>
          <w:color w:val="071E33"/>
          <w:sz w:val="28"/>
        </w:rPr>
        <w:t>2. SCOPE</w:t>
      </w:r>
    </w:p>
    <w:p>
      <w:r>
        <w:rPr>
          <w:rFonts w:ascii="Aptos" w:hAnsi="Aptos"/>
          <w:b w:val="0"/>
          <w:color w:val="263442"/>
          <w:sz w:val="19"/>
        </w:rPr>
        <w:t>The scope covers preparation, material receipt, execution, inspection, testing, protection, records and handover associated with routing and sealing of non-structural cracks. Interfaces with preceding and following trades are included where they affect the quality or safety of the work.</w:t>
      </w:r>
    </w:p>
    <w:p>
      <w:pPr>
        <w:pStyle w:val="Heading1"/>
        <w:keepNext/>
        <w:spacing w:before="240" w:after="100"/>
      </w:pPr>
      <w:r>
        <w:rPr>
          <w:rFonts w:ascii="Aptos" w:hAnsi="Aptos"/>
          <w:b/>
          <w:color w:val="071E33"/>
          <w:sz w:val="28"/>
        </w:rPr>
        <w:t>3. REFERENCES AND PRECEDENCE</w:t>
      </w:r>
    </w:p>
    <w:p>
      <w:pPr>
        <w:pStyle w:val="ListBullet"/>
        <w:spacing w:after="50"/>
        <w:ind w:left="369" w:hanging="170"/>
      </w:pPr>
      <w:r>
        <w:rPr>
          <w:rFonts w:ascii="Aptos" w:hAnsi="Aptos"/>
          <w:b w:val="0"/>
          <w:color w:val="263442"/>
          <w:sz w:val="19"/>
        </w:rPr>
        <w:t>Contract documents, project specifications and latest approved construction drawings.</w:t>
      </w:r>
    </w:p>
    <w:p>
      <w:pPr>
        <w:pStyle w:val="ListBullet"/>
        <w:spacing w:after="50"/>
        <w:ind w:left="369" w:hanging="170"/>
      </w:pPr>
      <w:r>
        <w:rPr>
          <w:rFonts w:ascii="Aptos" w:hAnsi="Aptos"/>
          <w:b w:val="0"/>
          <w:color w:val="263442"/>
          <w:sz w:val="19"/>
        </w:rPr>
        <w:t>Approved material submissions, samples, shop drawings and coordination drawings.</w:t>
      </w:r>
    </w:p>
    <w:p>
      <w:pPr>
        <w:pStyle w:val="ListBullet"/>
        <w:spacing w:after="50"/>
        <w:ind w:left="369" w:hanging="170"/>
      </w:pPr>
      <w:r>
        <w:rPr>
          <w:rFonts w:ascii="Aptos" w:hAnsi="Aptos"/>
          <w:b w:val="0"/>
          <w:color w:val="263442"/>
          <w:sz w:val="19"/>
        </w:rPr>
        <w:t>Manufacturer’s current installation, storage, testing and maintenance instructions.</w:t>
      </w:r>
    </w:p>
    <w:p>
      <w:pPr>
        <w:pStyle w:val="ListBullet"/>
        <w:spacing w:after="50"/>
        <w:ind w:left="369" w:hanging="170"/>
      </w:pPr>
      <w:r>
        <w:rPr>
          <w:rFonts w:ascii="Aptos" w:hAnsi="Aptos"/>
          <w:b w:val="0"/>
          <w:color w:val="263442"/>
          <w:sz w:val="19"/>
        </w:rPr>
        <w:t>Approved Inspection and Test Plan, risk assessment, permits and project HSE plan.</w:t>
      </w:r>
    </w:p>
    <w:p>
      <w:pPr>
        <w:pStyle w:val="ListBullet"/>
        <w:spacing w:after="50"/>
        <w:ind w:left="369" w:hanging="170"/>
      </w:pPr>
      <w:r>
        <w:rPr>
          <w:rFonts w:ascii="Aptos" w:hAnsi="Aptos"/>
          <w:b w:val="0"/>
          <w:color w:val="263442"/>
          <w:sz w:val="19"/>
        </w:rPr>
        <w:t>Applicable Malaysian laws, authority requirements, standards and codes identified in the project specification.</w:t>
      </w:r>
    </w:p>
    <w:p>
      <w:pPr>
        <w:pStyle w:val="ListBullet"/>
        <w:spacing w:after="50"/>
        <w:ind w:left="369" w:hanging="170"/>
      </w:pPr>
      <w:r>
        <w:rPr>
          <w:rFonts w:ascii="Aptos" w:hAnsi="Aptos"/>
          <w:b w:val="0"/>
          <w:color w:val="263442"/>
          <w:sz w:val="19"/>
        </w:rPr>
        <w:t>Where requirements conflict, stop work and obtain written clarification from the Consultant before proceeding.</w:t>
      </w:r>
    </w:p>
    <w:p>
      <w:pPr>
        <w:pStyle w:val="Heading1"/>
        <w:keepNext/>
        <w:spacing w:before="240" w:after="100"/>
      </w:pPr>
      <w:r>
        <w:rPr>
          <w:rFonts w:ascii="Aptos" w:hAnsi="Aptos"/>
          <w:b/>
          <w:color w:val="071E33"/>
          <w:sz w:val="28"/>
        </w:rPr>
        <w:t>4. RESPONSIBILITIES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r>
              <w:rPr>
                <w:rFonts w:ascii="Aptos" w:hAnsi="Aptos"/>
                <w:b/>
                <w:color w:val="FFFFFF"/>
                <w:sz w:val="17"/>
              </w:rPr>
              <w:t>Role</w:t>
            </w:r>
          </w:p>
        </w:tc>
        <w:tc>
          <w:tcPr>
            <w:tcW w:type="dxa" w:w="7200"/>
            <w:shd w:fill="071E33"/>
            <w:tcMar>
              <w:top w:w="120" w:type="dxa"/>
              <w:start w:w="140" w:type="dxa"/>
              <w:bottom w:w="120" w:type="dxa"/>
              <w:end w:w="140" w:type="dxa"/>
            </w:tcMar>
            <w:vAlign w:val="center"/>
          </w:tcPr>
          <w:p>
            <w:pPr>
              <w:spacing w:after="0"/>
              <w:jc w:val="left"/>
            </w:pPr>
            <w:r/>
            <w:r>
              <w:rPr>
                <w:rFonts w:ascii="Aptos" w:hAnsi="Aptos"/>
                <w:b/>
                <w:color w:val="FFFFFF"/>
                <w:sz w:val="17"/>
              </w:rPr>
              <w:t>Minimum responsibility</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Project Manager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Provide resources, approve the work plan and ensure interfaces are resolved.</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Construction / Site Manager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Coordinate sequence, access, permits and daily execution.</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Site Engineer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Confirm drawings, setting-out, technical controls and records.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QA/QC Engineer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Administer inspections, tests, hold points, non-conformance and handover records.</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Safety and Health Personnel</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Verify risk controls, briefings, permits and emergency readiness.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Supervisor / Foreman</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Brief workers, control workmanship and maintain housekeeping.</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Surveyor / Specialist</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Perform assigned checks, testing or specialist work using calibrated equipment.</w:t>
            </w:r>
          </w:p>
        </w:tc>
      </w:tr>
    </w:tbl>
    <w:p>
      <w:pPr>
        <w:pStyle w:val="Heading1"/>
        <w:keepNext/>
        <w:spacing w:before="240" w:after="100"/>
      </w:pPr>
      <w:r>
        <w:rPr>
          <w:rFonts w:ascii="Aptos" w:hAnsi="Aptos"/>
          <w:b/>
          <w:color w:val="071E33"/>
          <w:sz w:val="28"/>
        </w:rPr>
        <w:t>5. MATERIALS</w:t>
      </w:r>
    </w:p>
    <w:p>
      <w:pPr>
        <w:pStyle w:val="ListBullet"/>
        <w:spacing w:after="50"/>
        <w:ind w:left="369" w:hanging="170"/>
      </w:pPr>
      <w:r>
        <w:rPr>
          <w:rFonts w:ascii="Aptos" w:hAnsi="Aptos"/>
          <w:b w:val="0"/>
          <w:color w:val="263442"/>
          <w:sz w:val="19"/>
        </w:rPr>
        <w:t>Flexible sealant or rigid filler</w:t>
      </w:r>
    </w:p>
    <w:p>
      <w:pPr>
        <w:pStyle w:val="ListBullet"/>
        <w:spacing w:after="50"/>
        <w:ind w:left="369" w:hanging="170"/>
      </w:pPr>
      <w:r>
        <w:rPr>
          <w:rFonts w:ascii="Aptos" w:hAnsi="Aptos"/>
          <w:b w:val="0"/>
          <w:color w:val="263442"/>
          <w:sz w:val="19"/>
        </w:rPr>
        <w:t>Primer</w:t>
      </w:r>
    </w:p>
    <w:p>
      <w:pPr>
        <w:pStyle w:val="ListBullet"/>
        <w:spacing w:after="50"/>
        <w:ind w:left="369" w:hanging="170"/>
      </w:pPr>
      <w:r>
        <w:rPr>
          <w:rFonts w:ascii="Aptos" w:hAnsi="Aptos"/>
          <w:b w:val="0"/>
          <w:color w:val="263442"/>
          <w:sz w:val="19"/>
        </w:rPr>
        <w:t>Backer rod</w:t>
      </w:r>
    </w:p>
    <w:p>
      <w:pPr>
        <w:pStyle w:val="ListBullet"/>
        <w:spacing w:after="50"/>
        <w:ind w:left="369" w:hanging="170"/>
      </w:pPr>
      <w:r>
        <w:rPr>
          <w:rFonts w:ascii="Aptos" w:hAnsi="Aptos"/>
          <w:b w:val="0"/>
          <w:color w:val="263442"/>
          <w:sz w:val="19"/>
        </w:rPr>
        <w:t>Cleaning materials</w:t>
      </w:r>
    </w:p>
    <w:p>
      <w:pPr>
        <w:pStyle w:val="ListBullet"/>
        <w:spacing w:after="50"/>
        <w:ind w:left="369" w:hanging="170"/>
      </w:pPr>
      <w:r>
        <w:rPr>
          <w:rFonts w:ascii="Aptos" w:hAnsi="Aptos"/>
          <w:b w:val="0"/>
          <w:color w:val="263442"/>
          <w:sz w:val="19"/>
        </w:rPr>
        <w:t>Protective tape</w:t>
      </w:r>
    </w:p>
    <w:p>
      <w:pPr>
        <w:pStyle w:val="ListBullet"/>
        <w:spacing w:after="50"/>
        <w:ind w:left="369" w:hanging="170"/>
      </w:pPr>
      <w:r>
        <w:rPr>
          <w:rFonts w:ascii="Aptos" w:hAnsi="Aptos"/>
          <w:b w:val="0"/>
          <w:color w:val="263442"/>
          <w:sz w:val="19"/>
        </w:rPr>
        <w:t>All permanent materials shall match approved submissions, be traceable where required and be stored to prevent damage or contamination.</w:t>
      </w:r>
    </w:p>
    <w:p>
      <w:pPr>
        <w:pStyle w:val="Heading1"/>
        <w:keepNext/>
        <w:spacing w:before="240" w:after="100"/>
      </w:pPr>
      <w:r>
        <w:rPr>
          <w:rFonts w:ascii="Aptos" w:hAnsi="Aptos"/>
          <w:b/>
          <w:color w:val="071E33"/>
          <w:sz w:val="28"/>
        </w:rPr>
        <w:t>6. PLANT, TOOLS AND EQUIPMENT</w:t>
      </w:r>
    </w:p>
    <w:p>
      <w:pPr>
        <w:pStyle w:val="ListBullet"/>
        <w:spacing w:after="50"/>
        <w:ind w:left="369" w:hanging="170"/>
      </w:pPr>
      <w:r>
        <w:rPr>
          <w:rFonts w:ascii="Aptos" w:hAnsi="Aptos"/>
          <w:b w:val="0"/>
          <w:color w:val="263442"/>
          <w:sz w:val="19"/>
        </w:rPr>
        <w:t>Crack router or diamond grinder</w:t>
      </w:r>
    </w:p>
    <w:p>
      <w:pPr>
        <w:pStyle w:val="ListBullet"/>
        <w:spacing w:after="50"/>
        <w:ind w:left="369" w:hanging="170"/>
      </w:pPr>
      <w:r>
        <w:rPr>
          <w:rFonts w:ascii="Aptos" w:hAnsi="Aptos"/>
          <w:b w:val="0"/>
          <w:color w:val="263442"/>
          <w:sz w:val="19"/>
        </w:rPr>
        <w:t>Vacuum extractor</w:t>
      </w:r>
    </w:p>
    <w:p>
      <w:pPr>
        <w:pStyle w:val="ListBullet"/>
        <w:spacing w:after="50"/>
        <w:ind w:left="369" w:hanging="170"/>
      </w:pPr>
      <w:r>
        <w:rPr>
          <w:rFonts w:ascii="Aptos" w:hAnsi="Aptos"/>
          <w:b w:val="0"/>
          <w:color w:val="263442"/>
          <w:sz w:val="19"/>
        </w:rPr>
        <w:t>Air compressor</w:t>
      </w:r>
    </w:p>
    <w:p>
      <w:pPr>
        <w:pStyle w:val="ListBullet"/>
        <w:spacing w:after="50"/>
        <w:ind w:left="369" w:hanging="170"/>
      </w:pPr>
      <w:r>
        <w:rPr>
          <w:rFonts w:ascii="Aptos" w:hAnsi="Aptos"/>
          <w:b w:val="0"/>
          <w:color w:val="263442"/>
          <w:sz w:val="19"/>
        </w:rPr>
        <w:t>Sealant gun</w:t>
      </w:r>
    </w:p>
    <w:p>
      <w:pPr>
        <w:pStyle w:val="ListBullet"/>
        <w:spacing w:after="50"/>
        <w:ind w:left="369" w:hanging="170"/>
      </w:pPr>
      <w:r>
        <w:rPr>
          <w:rFonts w:ascii="Aptos" w:hAnsi="Aptos"/>
          <w:b w:val="0"/>
          <w:color w:val="263442"/>
          <w:sz w:val="19"/>
        </w:rPr>
        <w:t>Depth gauge</w:t>
      </w:r>
    </w:p>
    <w:p>
      <w:pPr>
        <w:pStyle w:val="ListBullet"/>
        <w:spacing w:after="50"/>
        <w:ind w:left="369" w:hanging="170"/>
      </w:pPr>
      <w:r>
        <w:rPr>
          <w:rFonts w:ascii="Aptos" w:hAnsi="Aptos"/>
          <w:b w:val="0"/>
          <w:color w:val="263442"/>
          <w:sz w:val="19"/>
        </w:rPr>
        <w:t>Inspection and measuring equipment with valid calibration or verification status, where applicable.</w:t>
      </w:r>
    </w:p>
    <w:p>
      <w:pPr>
        <w:pStyle w:val="ListBullet"/>
        <w:spacing w:after="50"/>
        <w:ind w:left="369" w:hanging="170"/>
      </w:pPr>
      <w:r>
        <w:rPr>
          <w:rFonts w:ascii="Aptos" w:hAnsi="Aptos"/>
          <w:b w:val="0"/>
          <w:color w:val="263442"/>
          <w:sz w:val="19"/>
        </w:rPr>
        <w:t>Suitable access, lighting, barricades, environmental controls and emergency equipment.</w:t>
      </w:r>
    </w:p>
    <w:p>
      <w:pPr>
        <w:pStyle w:val="Heading1"/>
        <w:keepNext/>
        <w:spacing w:before="240" w:after="100"/>
      </w:pPr>
      <w:r>
        <w:rPr>
          <w:rFonts w:ascii="Aptos" w:hAnsi="Aptos"/>
          <w:b/>
          <w:color w:val="071E33"/>
          <w:sz w:val="28"/>
        </w:rPr>
        <w:t>7. PRE-START REQUIREMENTS</w:t>
      </w:r>
    </w:p>
    <w:p>
      <w:pPr>
        <w:pStyle w:val="ListBullet"/>
        <w:spacing w:after="50"/>
        <w:ind w:left="369" w:hanging="170"/>
      </w:pPr>
      <w:r>
        <w:rPr>
          <w:rFonts w:ascii="Aptos" w:hAnsi="Aptos"/>
          <w:b w:val="0"/>
          <w:color w:val="263442"/>
          <w:sz w:val="19"/>
        </w:rPr>
        <w:t>Latest approved documents are available at the work front and superseded information has been withdrawn.</w:t>
      </w:r>
    </w:p>
    <w:p>
      <w:pPr>
        <w:pStyle w:val="ListBullet"/>
        <w:spacing w:after="50"/>
        <w:ind w:left="369" w:hanging="170"/>
      </w:pPr>
      <w:r>
        <w:rPr>
          <w:rFonts w:ascii="Aptos" w:hAnsi="Aptos"/>
          <w:b w:val="0"/>
          <w:color w:val="263442"/>
          <w:sz w:val="19"/>
        </w:rPr>
        <w:t>Work area, access, preceding trade, datum and service interfaces have been inspected and released.</w:t>
      </w:r>
    </w:p>
    <w:p>
      <w:pPr>
        <w:pStyle w:val="ListBullet"/>
        <w:spacing w:after="50"/>
        <w:ind w:left="369" w:hanging="170"/>
      </w:pPr>
      <w:r>
        <w:rPr>
          <w:rFonts w:ascii="Aptos" w:hAnsi="Aptos"/>
          <w:b w:val="0"/>
          <w:color w:val="263442"/>
          <w:sz w:val="19"/>
        </w:rPr>
        <w:t>Materials are approved, undamaged, correctly stored and supported by required certificates.</w:t>
      </w:r>
    </w:p>
    <w:p>
      <w:pPr>
        <w:pStyle w:val="ListBullet"/>
        <w:spacing w:after="50"/>
        <w:ind w:left="369" w:hanging="170"/>
      </w:pPr>
      <w:r>
        <w:rPr>
          <w:rFonts w:ascii="Aptos" w:hAnsi="Aptos"/>
          <w:b w:val="0"/>
          <w:color w:val="263442"/>
          <w:sz w:val="19"/>
        </w:rPr>
        <w:t>The workforce is competent, briefed and equipped with task-specific personal protective equipment.</w:t>
      </w:r>
    </w:p>
    <w:p>
      <w:pPr>
        <w:pStyle w:val="ListBullet"/>
        <w:spacing w:after="50"/>
        <w:ind w:left="369" w:hanging="170"/>
      </w:pPr>
      <w:r>
        <w:rPr>
          <w:rFonts w:ascii="Aptos" w:hAnsi="Aptos"/>
          <w:b w:val="0"/>
          <w:color w:val="263442"/>
          <w:sz w:val="19"/>
        </w:rPr>
        <w:t>Risk assessment, permits, lifting arrangements and temporary works approvals are valid where applicable.</w:t>
      </w:r>
    </w:p>
    <w:p>
      <w:pPr>
        <w:pStyle w:val="ListBullet"/>
        <w:spacing w:after="50"/>
        <w:ind w:left="369" w:hanging="170"/>
      </w:pPr>
      <w:r>
        <w:rPr>
          <w:rFonts w:ascii="Aptos" w:hAnsi="Aptos"/>
          <w:b w:val="0"/>
          <w:color w:val="263442"/>
          <w:sz w:val="19"/>
        </w:rPr>
        <w:t>Inspection requests have been planned around hold and witness points; no work will be covered without release.</w:t>
      </w:r>
    </w:p>
    <w:p>
      <w:pPr>
        <w:pStyle w:val="Heading1"/>
        <w:keepNext/>
        <w:spacing w:before="240" w:after="100"/>
      </w:pPr>
      <w:r>
        <w:rPr>
          <w:rFonts w:ascii="Aptos" w:hAnsi="Aptos"/>
          <w:b/>
          <w:color w:val="071E33"/>
          <w:sz w:val="28"/>
        </w:rPr>
        <w:t>8. METHOD OF EXECUTION</w:t>
      </w:r>
    </w:p>
    <w:p>
      <w:pPr>
        <w:pStyle w:val="Heading2"/>
        <w:keepNext/>
        <w:spacing w:before="160" w:after="100"/>
      </w:pPr>
      <w:r>
        <w:rPr>
          <w:rFonts w:ascii="Aptos" w:hAnsi="Aptos"/>
          <w:b/>
          <w:color w:val="071E33"/>
          <w:sz w:val="22"/>
        </w:rPr>
        <w:t>8.1 Document and Work-Front Release</w:t>
      </w:r>
    </w:p>
    <w:p>
      <w:pPr>
        <w:keepLines/>
        <w:spacing w:after="80" w:line="269" w:lineRule="auto"/>
      </w:pPr>
      <w:r>
        <w:rPr>
          <w:rFonts w:ascii="Aptos" w:hAnsi="Aptos"/>
          <w:b w:val="0"/>
          <w:color w:val="263442"/>
          <w:sz w:val="19"/>
        </w:rPr>
        <w:t>The Site Engineer shall confirm that the latest approved drawings, specifications, material submissions, coordination information and permits applicable to routing and sealing of non-structural cracks are available at the work front. The physical work area shall be jointly inspected with the Supervisor, QA/QC representative and affected trades. Any discrepancy in dimensions, levels, access, interfaces or site conditions shall be recorded and resolved in writing before physical work starts.</w:t>
      </w:r>
    </w:p>
    <w:p>
      <w:pPr>
        <w:pStyle w:val="Heading2"/>
        <w:keepNext/>
        <w:spacing w:before="160" w:after="100"/>
      </w:pPr>
      <w:r>
        <w:rPr>
          <w:rFonts w:ascii="Aptos" w:hAnsi="Aptos"/>
          <w:b/>
          <w:color w:val="071E33"/>
          <w:sz w:val="22"/>
        </w:rPr>
        <w:t>8.2 Resources, Competency and Daily Briefing</w:t>
      </w:r>
    </w:p>
    <w:p>
      <w:pPr>
        <w:keepLines/>
        <w:spacing w:after="80" w:line="269" w:lineRule="auto"/>
      </w:pPr>
      <w:r>
        <w:rPr>
          <w:rFonts w:ascii="Aptos" w:hAnsi="Aptos"/>
          <w:b w:val="0"/>
          <w:color w:val="263442"/>
          <w:sz w:val="19"/>
        </w:rPr>
        <w:t>The Supervisor shall verify the workforce, specialist operatives, plant, access equipment and calibrated measuring devices against the planned daily output. A task briefing shall explain the approved sequence, individual responsibilities, exclusion zones, emergency arrangements, inspection points and stop-work conditions. Attendance and competency evidence shall be retained with the daily records.</w:t>
      </w:r>
    </w:p>
    <w:p>
      <w:pPr>
        <w:pStyle w:val="Heading2"/>
        <w:keepNext/>
        <w:spacing w:before="160" w:after="100"/>
      </w:pPr>
      <w:r>
        <w:rPr>
          <w:rFonts w:ascii="Aptos" w:hAnsi="Aptos"/>
          <w:b/>
          <w:color w:val="071E33"/>
          <w:sz w:val="22"/>
        </w:rPr>
        <w:t>8.3 Material Receipt, Storage and Traceability</w:t>
      </w:r>
    </w:p>
    <w:p>
      <w:pPr>
        <w:keepLines/>
        <w:spacing w:after="80" w:line="269" w:lineRule="auto"/>
      </w:pPr>
      <w:r>
        <w:rPr>
          <w:rFonts w:ascii="Aptos" w:hAnsi="Aptos"/>
          <w:b w:val="0"/>
          <w:color w:val="263442"/>
          <w:sz w:val="19"/>
        </w:rPr>
        <w:t>Materials required for this activity shall be checked against the approved submission, delivery order, product identification and visible condition before acceptance. The following materials are expected: Flexible sealant or rigid filler, Primer, Backer rod, Cleaning materials, Protective tape. Items shall be segregated by type or batch, stored clear of contamination and damage, and issued to the work front in quantities that can be installed and protected during the shift. Rejected or unidentified materials shall be quarantined.</w:t>
      </w:r>
    </w:p>
    <w:p>
      <w:pPr>
        <w:pStyle w:val="Heading2"/>
        <w:keepNext/>
        <w:spacing w:before="160" w:after="100"/>
      </w:pPr>
      <w:r>
        <w:rPr>
          <w:rFonts w:ascii="Aptos" w:hAnsi="Aptos"/>
          <w:b/>
          <w:color w:val="071E33"/>
          <w:sz w:val="22"/>
        </w:rPr>
        <w:t>8.4 Activity Sequence</w:t>
      </w:r>
    </w:p>
    <w:p>
      <w:pPr>
        <w:keepLines/>
        <w:spacing w:after="80" w:line="269" w:lineRule="auto"/>
      </w:pPr>
      <w:r>
        <w:rPr>
          <w:rFonts w:ascii="Aptos" w:hAnsi="Aptos"/>
          <w:b w:val="0"/>
          <w:color w:val="263442"/>
          <w:sz w:val="19"/>
        </w:rPr>
        <w:t>Carry out the physical works in the following sequence. The approved drawings, specification, temporary works design, lifting arrangement and manufacturer’s instructions govern where their requirements are more specific.</w:t>
      </w:r>
    </w:p>
    <w:p>
      <w:pPr>
        <w:keepLines/>
        <w:spacing w:after="100" w:line="269" w:lineRule="auto"/>
        <w:ind w:left="369" w:hanging="369"/>
      </w:pPr>
      <w:r>
        <w:rPr>
          <w:rFonts w:ascii="Aptos" w:hAnsi="Aptos"/>
          <w:b/>
          <w:color w:val="071E33"/>
          <w:sz w:val="19"/>
        </w:rPr>
        <w:t xml:space="preserve">1. Confirm that the crack is non-structural. </w:t>
      </w:r>
      <w:r>
        <w:rPr>
          <w:rFonts w:ascii="Aptos" w:hAnsi="Aptos"/>
          <w:b w:val="0"/>
          <w:color w:val="263442"/>
          <w:sz w:val="19"/>
        </w:rPr>
        <w:t>Confirm that the crack is non-structural and select a rigid or flexible detail suited to expected movement.</w:t>
      </w:r>
    </w:p>
    <w:p>
      <w:pPr>
        <w:keepLines/>
        <w:spacing w:after="100" w:line="269" w:lineRule="auto"/>
        <w:ind w:left="369" w:hanging="369"/>
      </w:pPr>
      <w:r>
        <w:rPr>
          <w:rFonts w:ascii="Aptos" w:hAnsi="Aptos"/>
          <w:b/>
          <w:color w:val="071E33"/>
          <w:sz w:val="19"/>
        </w:rPr>
        <w:t xml:space="preserve">2. Mark repair limits. </w:t>
      </w:r>
      <w:r>
        <w:rPr>
          <w:rFonts w:ascii="Aptos" w:hAnsi="Aptos"/>
          <w:b w:val="0"/>
          <w:color w:val="263442"/>
          <w:sz w:val="19"/>
        </w:rPr>
        <w:t>Mark repair limits and form a uniform routed groove without widening beyond the approved dimensions.</w:t>
      </w:r>
    </w:p>
    <w:p>
      <w:pPr>
        <w:keepLines/>
        <w:spacing w:after="100" w:line="269" w:lineRule="auto"/>
        <w:ind w:left="369" w:hanging="369"/>
      </w:pPr>
      <w:r>
        <w:rPr>
          <w:rFonts w:ascii="Aptos" w:hAnsi="Aptos"/>
          <w:b/>
          <w:color w:val="071E33"/>
          <w:sz w:val="19"/>
        </w:rPr>
        <w:t xml:space="preserve">3. Remove dust and weak material. </w:t>
      </w:r>
      <w:r>
        <w:rPr>
          <w:rFonts w:ascii="Aptos" w:hAnsi="Aptos"/>
          <w:b w:val="0"/>
          <w:color w:val="263442"/>
          <w:sz w:val="19"/>
        </w:rPr>
        <w:t>Remove dust and weak material, then verify groove width, depth, dryness and clean bond faces.</w:t>
      </w:r>
    </w:p>
    <w:p>
      <w:pPr>
        <w:keepLines/>
        <w:spacing w:after="100" w:line="269" w:lineRule="auto"/>
        <w:ind w:left="369" w:hanging="369"/>
      </w:pPr>
      <w:r>
        <w:rPr>
          <w:rFonts w:ascii="Aptos" w:hAnsi="Aptos"/>
          <w:b/>
          <w:color w:val="071E33"/>
          <w:sz w:val="19"/>
        </w:rPr>
        <w:t xml:space="preserve">4. Install primer and backer rod. </w:t>
      </w:r>
      <w:r>
        <w:rPr>
          <w:rFonts w:ascii="Aptos" w:hAnsi="Aptos"/>
          <w:b w:val="0"/>
          <w:color w:val="263442"/>
          <w:sz w:val="19"/>
        </w:rPr>
        <w:t>Install primer and backer rod where specified, maintaining the designed sealant shape factor.</w:t>
      </w:r>
    </w:p>
    <w:p>
      <w:pPr>
        <w:keepLines/>
        <w:spacing w:after="100" w:line="269" w:lineRule="auto"/>
        <w:ind w:left="369" w:hanging="369"/>
      </w:pPr>
      <w:r>
        <w:rPr>
          <w:rFonts w:ascii="Aptos" w:hAnsi="Aptos"/>
          <w:b/>
          <w:color w:val="071E33"/>
          <w:sz w:val="19"/>
        </w:rPr>
        <w:t xml:space="preserve">5. Place sealant or filler continuously without air pockets. </w:t>
      </w:r>
      <w:r>
        <w:rPr>
          <w:rFonts w:ascii="Aptos" w:hAnsi="Aptos"/>
          <w:b w:val="0"/>
          <w:color w:val="263442"/>
          <w:sz w:val="19"/>
        </w:rPr>
        <w:t>Place sealant or filler continuously without air pockets and tool it flush or recessed as detailed.</w:t>
      </w:r>
    </w:p>
    <w:p>
      <w:pPr>
        <w:keepLines/>
        <w:spacing w:after="100" w:line="269" w:lineRule="auto"/>
        <w:ind w:left="369" w:hanging="369"/>
      </w:pPr>
      <w:r>
        <w:rPr>
          <w:rFonts w:ascii="Aptos" w:hAnsi="Aptos"/>
          <w:b/>
          <w:color w:val="071E33"/>
          <w:sz w:val="19"/>
        </w:rPr>
        <w:t xml:space="preserve">6. Protect through curing. </w:t>
      </w:r>
      <w:r>
        <w:rPr>
          <w:rFonts w:ascii="Aptos" w:hAnsi="Aptos"/>
          <w:b w:val="0"/>
          <w:color w:val="263442"/>
          <w:sz w:val="19"/>
        </w:rPr>
        <w:t>Protect through curing and inspect adhesion, finish and movement accommodation before release.</w:t>
      </w:r>
    </w:p>
    <w:p>
      <w:pPr>
        <w:keepNext/>
        <w:spacing w:before="120" w:after="60"/>
      </w:pPr>
      <w:r>
        <w:rPr>
          <w:rFonts w:ascii="Aptos" w:hAnsi="Aptos"/>
          <w:b/>
          <w:color w:val="F2A51A"/>
          <w:sz w:val="20"/>
        </w:rPr>
        <w:t>Notes applicable to the entire Activity Sequence</w:t>
      </w:r>
    </w:p>
    <w:p>
      <w:pPr>
        <w:pStyle w:val="ListBullet"/>
        <w:spacing w:after="50"/>
        <w:ind w:left="369" w:hanging="170"/>
      </w:pPr>
      <w:r>
        <w:rPr>
          <w:rFonts w:ascii="Aptos" w:hAnsi="Aptos"/>
          <w:b w:val="0"/>
          <w:color w:val="263442"/>
          <w:sz w:val="19"/>
        </w:rPr>
        <w:t>Quality control: apply the controls to the complete Activity Sequence. Verify crack classification; groove dimensions; surface condition; primer and backing; seal profile; adhesion and finish against the approved drawings, specification, material data, agreed tolerances and Inspection and Test Plan. Obtain the required hold or witness point release before covering work or proceeding beyond a restricted stage.</w:t>
      </w:r>
    </w:p>
    <w:p>
      <w:pPr>
        <w:pStyle w:val="ListBullet"/>
        <w:spacing w:after="50"/>
        <w:ind w:left="369" w:hanging="170"/>
      </w:pPr>
      <w:r>
        <w:rPr>
          <w:rFonts w:ascii="Aptos" w:hAnsi="Aptos"/>
          <w:b w:val="0"/>
          <w:color w:val="263442"/>
          <w:sz w:val="19"/>
        </w:rPr>
        <w:t>Safety and interface control: maintain the approved risk controls, permits, access and exclusion zones for silica dust; rotating tools; chemical contact; work at height; damage to reinforcement. Coordinate the work front with preceding and following trades, protect completed and adjoining work, and stop the activity when site conditions differ from the approved arrangement.</w:t>
      </w:r>
    </w:p>
    <w:p>
      <w:pPr>
        <w:pStyle w:val="ListBullet"/>
        <w:spacing w:after="50"/>
        <w:ind w:left="369" w:hanging="170"/>
      </w:pPr>
      <w:r>
        <w:rPr>
          <w:rFonts w:ascii="Aptos" w:hAnsi="Aptos"/>
          <w:b w:val="0"/>
          <w:color w:val="263442"/>
          <w:sz w:val="19"/>
        </w:rPr>
        <w:t>Records: retain the approved drawings and submissions, delivery and material traceability records, daily reports, inspection requests, checklists, test and survey results, permits, photographs, non-conformance close-out and handover records applicable to the complete Activity Sequence.</w:t>
      </w:r>
    </w:p>
    <w:p>
      <w:pPr>
        <w:pStyle w:val="Heading2"/>
        <w:keepNext/>
        <w:spacing w:before="160" w:after="100"/>
      </w:pPr>
      <w:r>
        <w:rPr>
          <w:rFonts w:ascii="Aptos" w:hAnsi="Aptos"/>
          <w:b/>
          <w:color w:val="071E33"/>
          <w:sz w:val="22"/>
        </w:rPr>
        <w:t>8.5 Final Inspection, Rectification and Protection</w:t>
      </w:r>
    </w:p>
    <w:p>
      <w:pPr>
        <w:keepLines/>
        <w:spacing w:after="80" w:line="269" w:lineRule="auto"/>
      </w:pPr>
      <w:r>
        <w:rPr>
          <w:rFonts w:ascii="Aptos" w:hAnsi="Aptos"/>
          <w:b w:val="0"/>
          <w:color w:val="263442"/>
          <w:sz w:val="19"/>
        </w:rPr>
        <w:t>After completing the defined work section, the Supervisor and QA/QC representative shall carry out a systematic inspection from the approved checklist. Defects, incomplete interfaces, damage, contamination or work outside tolerance shall be marked and rectified using an accepted procedure. Completed work shall be protected from traffic, weather, impact, subsequent trades and premature loading until formal acceptance.</w:t>
      </w:r>
    </w:p>
    <w:p>
      <w:pPr>
        <w:pStyle w:val="Heading2"/>
        <w:keepNext/>
        <w:spacing w:before="160" w:after="100"/>
      </w:pPr>
      <w:r>
        <w:rPr>
          <w:rFonts w:ascii="Aptos" w:hAnsi="Aptos"/>
          <w:b/>
          <w:color w:val="071E33"/>
          <w:sz w:val="22"/>
        </w:rPr>
        <w:t>8.6 Testing, Records and Handover</w:t>
      </w:r>
    </w:p>
    <w:p>
      <w:pPr>
        <w:keepLines/>
        <w:spacing w:after="80" w:line="269" w:lineRule="auto"/>
      </w:pPr>
      <w:r>
        <w:rPr>
          <w:rFonts w:ascii="Aptos" w:hAnsi="Aptos"/>
          <w:b w:val="0"/>
          <w:color w:val="263442"/>
          <w:sz w:val="19"/>
        </w:rPr>
        <w:t>The Site Engineer shall compile inspection requests, test reports, survey information, delivery and traceability records, permits, photographs, non-conformance close-out and as-built data applicable to the activity. The completed area shall be jointly handed over to the next trade or the Consultant only after all hold points, test results, comments and outstanding items have been closed or formally agreed.</w:t>
      </w:r>
    </w:p>
    <w:p>
      <w:pPr>
        <w:pStyle w:val="Heading1"/>
        <w:keepNext/>
        <w:spacing w:before="240" w:after="100"/>
      </w:pPr>
      <w:r>
        <w:rPr>
          <w:rFonts w:ascii="Aptos" w:hAnsi="Aptos"/>
          <w:b/>
          <w:color w:val="071E33"/>
          <w:sz w:val="28"/>
        </w:rPr>
        <w:t>9. INSPECTION AND QUALITY CONTROL</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r>
              <w:rPr>
                <w:rFonts w:ascii="Aptos" w:hAnsi="Aptos"/>
                <w:b/>
                <w:color w:val="FFFFFF"/>
                <w:sz w:val="17"/>
              </w:rPr>
              <w:t>Stage / Check</w:t>
            </w:r>
          </w:p>
        </w:tc>
        <w:tc>
          <w:tcPr>
            <w:tcW w:type="dxa" w:w="3402"/>
            <w:shd w:fill="071E33"/>
            <w:tcMar>
              <w:top w:w="120" w:type="dxa"/>
              <w:start w:w="140" w:type="dxa"/>
              <w:bottom w:w="120" w:type="dxa"/>
              <w:end w:w="140" w:type="dxa"/>
            </w:tcMar>
            <w:vAlign w:val="center"/>
          </w:tcPr>
          <w:p>
            <w:pPr>
              <w:spacing w:after="0"/>
              <w:jc w:val="left"/>
            </w:pPr>
            <w:r/>
            <w:r>
              <w:rPr>
                <w:rFonts w:ascii="Aptos" w:hAnsi="Aptos"/>
                <w:b/>
                <w:color w:val="FFFFFF"/>
                <w:sz w:val="17"/>
              </w:rPr>
              <w:t>Acceptance basis</w:t>
            </w:r>
          </w:p>
        </w:tc>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Record</w:t>
            </w:r>
          </w:p>
        </w:tc>
        <w:tc>
          <w:tcPr>
            <w:tcW w:type="dxa" w:w="794"/>
            <w:shd w:fill="071E33"/>
            <w:tcMar>
              <w:top w:w="120" w:type="dxa"/>
              <w:start w:w="140" w:type="dxa"/>
              <w:bottom w:w="120" w:type="dxa"/>
              <w:end w:w="140" w:type="dxa"/>
            </w:tcMar>
            <w:vAlign w:val="center"/>
          </w:tcPr>
          <w:p>
            <w:pPr>
              <w:spacing w:after="0"/>
              <w:jc w:val="left"/>
            </w:pPr>
            <w:r/>
            <w:r>
              <w:rPr>
                <w:rFonts w:ascii="Aptos" w:hAnsi="Aptos"/>
                <w:b/>
                <w:color w:val="FFFFFF"/>
                <w:sz w:val="17"/>
              </w:rPr>
              <w:t>Point</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Crack classification</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Groove dimensions</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Surface condition</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Primer and backing</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Seal profile</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Adhesion and finish</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do not proceed without release. W = Witness point: provide notice and proceed only under the approved Inspection and Test Plan.</w:t>
      </w:r>
    </w:p>
    <w:p>
      <w:pPr>
        <w:pStyle w:val="Heading1"/>
        <w:keepNext/>
        <w:spacing w:before="240" w:after="100"/>
      </w:pPr>
      <w:r>
        <w:rPr>
          <w:rFonts w:ascii="Aptos" w:hAnsi="Aptos"/>
          <w:b/>
          <w:color w:val="071E33"/>
          <w:sz w:val="28"/>
        </w:rPr>
        <w:t>10. SAFETY, HEALTH AND ENVIRONMENT</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r>
              <w:rPr>
                <w:rFonts w:ascii="Aptos" w:hAnsi="Aptos"/>
                <w:b/>
                <w:color w:val="FFFFFF"/>
                <w:sz w:val="17"/>
              </w:rPr>
              <w:t>Hazard / Aspect</w:t>
            </w:r>
          </w:p>
        </w:tc>
        <w:tc>
          <w:tcPr>
            <w:tcW w:type="dxa" w:w="6746"/>
            <w:shd w:fill="071E33"/>
            <w:tcMar>
              <w:top w:w="120" w:type="dxa"/>
              <w:start w:w="140" w:type="dxa"/>
              <w:bottom w:w="120" w:type="dxa"/>
              <w:end w:w="140" w:type="dxa"/>
            </w:tcMar>
            <w:vAlign w:val="center"/>
          </w:tcPr>
          <w:p>
            <w:pPr>
              <w:spacing w:after="0"/>
              <w:jc w:val="left"/>
            </w:pPr>
            <w:r/>
            <w:r>
              <w:rPr>
                <w:rFonts w:ascii="Aptos" w:hAnsi="Aptos"/>
                <w:b/>
                <w:color w:val="FFFFFF"/>
                <w:sz w:val="17"/>
              </w:rPr>
              <w:t>Minimum control</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Silica dust</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Apply the task risk assessment, competent supervision, exclusion zones and required permit.</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Rotating tools</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Use inspected plant, suitable access and physical separation from people or live operations.</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Chemical contact</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Wear task-specific PPE and control exposure at source through guarding, ventilation or wet methods.</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Work at height</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Provide a recovery plan, emergency communication and first-aid or rescue equipment suited to the risk.</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Damage to reinforcement</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Apply the task risk assessment, competent supervision, exclusion zones and required permit.</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Waste and pollution</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Segregate waste, prevent discharge to drains, control spills and retain disposal records.</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Noise, dust and nuisance</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Use maintained equipment, suppression and approved working hours; monitor when required.</w:t>
            </w:r>
          </w:p>
        </w:tc>
      </w:tr>
    </w:tbl>
    <w:p>
      <w:pPr>
        <w:pStyle w:val="Heading1"/>
        <w:keepNext/>
        <w:spacing w:before="240" w:after="100"/>
      </w:pPr>
      <w:r>
        <w:rPr>
          <w:rFonts w:ascii="Aptos" w:hAnsi="Aptos"/>
          <w:b/>
          <w:color w:val="071E33"/>
          <w:sz w:val="28"/>
        </w:rPr>
        <w:t>11. NON-CONFORMANCE AND CORRECTIVE ACTION</w:t>
      </w:r>
    </w:p>
    <w:p>
      <w:pPr>
        <w:pStyle w:val="ListBullet"/>
        <w:spacing w:after="50"/>
        <w:ind w:left="369" w:hanging="170"/>
      </w:pPr>
      <w:r>
        <w:rPr>
          <w:rFonts w:ascii="Aptos" w:hAnsi="Aptos"/>
          <w:b w:val="0"/>
          <w:color w:val="263442"/>
          <w:sz w:val="19"/>
        </w:rPr>
        <w:t>Stop and identify work that does not meet the approved requirements.</w:t>
      </w:r>
    </w:p>
    <w:p>
      <w:pPr>
        <w:pStyle w:val="ListBullet"/>
        <w:spacing w:after="50"/>
        <w:ind w:left="369" w:hanging="170"/>
      </w:pPr>
      <w:r>
        <w:rPr>
          <w:rFonts w:ascii="Aptos" w:hAnsi="Aptos"/>
          <w:b w:val="0"/>
          <w:color w:val="263442"/>
          <w:sz w:val="19"/>
        </w:rPr>
        <w:t>Protect the affected area and raise the project’s non-conformance record where required.</w:t>
      </w:r>
    </w:p>
    <w:p>
      <w:pPr>
        <w:pStyle w:val="ListBullet"/>
        <w:spacing w:after="50"/>
        <w:ind w:left="369" w:hanging="170"/>
      </w:pPr>
      <w:r>
        <w:rPr>
          <w:rFonts w:ascii="Aptos" w:hAnsi="Aptos"/>
          <w:b w:val="0"/>
          <w:color w:val="263442"/>
          <w:sz w:val="19"/>
        </w:rPr>
        <w:t>Do not repair, remove or conceal non-conforming work until an authorised disposition is issued.</w:t>
      </w:r>
    </w:p>
    <w:p>
      <w:pPr>
        <w:pStyle w:val="ListBullet"/>
        <w:spacing w:after="50"/>
        <w:ind w:left="369" w:hanging="170"/>
      </w:pPr>
      <w:r>
        <w:rPr>
          <w:rFonts w:ascii="Aptos" w:hAnsi="Aptos"/>
          <w:b w:val="0"/>
          <w:color w:val="263442"/>
          <w:sz w:val="19"/>
        </w:rPr>
        <w:t>Reinspect and close the record with supporting evidence after corrective work.</w:t>
      </w:r>
    </w:p>
    <w:p>
      <w:pPr>
        <w:pStyle w:val="Heading1"/>
        <w:keepNext/>
        <w:spacing w:before="240" w:after="100"/>
      </w:pPr>
      <w:r>
        <w:rPr>
          <w:rFonts w:ascii="Aptos" w:hAnsi="Aptos"/>
          <w:b/>
          <w:color w:val="071E33"/>
          <w:sz w:val="28"/>
        </w:rPr>
        <w:t>12. RECORDS</w:t>
      </w:r>
    </w:p>
    <w:p>
      <w:pPr>
        <w:pStyle w:val="ListBullet"/>
        <w:spacing w:after="50"/>
        <w:ind w:left="369" w:hanging="170"/>
      </w:pPr>
      <w:r>
        <w:rPr>
          <w:rFonts w:ascii="Aptos" w:hAnsi="Aptos"/>
          <w:b w:val="0"/>
          <w:color w:val="263442"/>
          <w:sz w:val="19"/>
        </w:rPr>
        <w:t>Approved method statement, risk assessment, permits and toolbox briefing attendance.</w:t>
      </w:r>
    </w:p>
    <w:p>
      <w:pPr>
        <w:pStyle w:val="ListBullet"/>
        <w:spacing w:after="50"/>
        <w:ind w:left="369" w:hanging="170"/>
      </w:pPr>
      <w:r>
        <w:rPr>
          <w:rFonts w:ascii="Aptos" w:hAnsi="Aptos"/>
          <w:b w:val="0"/>
          <w:color w:val="263442"/>
          <w:sz w:val="19"/>
        </w:rPr>
        <w:t>Material approvals, delivery records, certificates and traceability records.</w:t>
      </w:r>
    </w:p>
    <w:p>
      <w:pPr>
        <w:pStyle w:val="ListBullet"/>
        <w:spacing w:after="50"/>
        <w:ind w:left="369" w:hanging="170"/>
      </w:pPr>
      <w:r>
        <w:rPr>
          <w:rFonts w:ascii="Aptos" w:hAnsi="Aptos"/>
          <w:b w:val="0"/>
          <w:color w:val="263442"/>
          <w:sz w:val="19"/>
        </w:rPr>
        <w:t>Inspection requests, checklists, survey records, test reports and calibration evidence.</w:t>
      </w:r>
    </w:p>
    <w:p>
      <w:pPr>
        <w:pStyle w:val="ListBullet"/>
        <w:spacing w:after="50"/>
        <w:ind w:left="369" w:hanging="170"/>
      </w:pPr>
      <w:r>
        <w:rPr>
          <w:rFonts w:ascii="Aptos" w:hAnsi="Aptos"/>
          <w:b w:val="0"/>
          <w:color w:val="263442"/>
          <w:sz w:val="19"/>
        </w:rPr>
        <w:t>Photographs, daily reports, non-conformance records, as-built information and handover documents.</w:t>
      </w:r>
    </w:p>
    <w:p>
      <w:pPr>
        <w:pStyle w:val="Heading1"/>
        <w:keepNext/>
        <w:spacing w:before="240" w:after="100"/>
      </w:pPr>
      <w:r>
        <w:rPr>
          <w:rFonts w:ascii="Aptos" w:hAnsi="Aptos"/>
          <w:b/>
          <w:color w:val="071E33"/>
          <w:sz w:val="28"/>
        </w:rPr>
        <w:t>APPENDIX A — PRE-WORK CHECKLIST</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4762"/>
            <w:shd w:fill="071E33"/>
            <w:tcMar>
              <w:top w:w="120" w:type="dxa"/>
              <w:start w:w="140" w:type="dxa"/>
              <w:bottom w:w="120" w:type="dxa"/>
              <w:end w:w="140" w:type="dxa"/>
            </w:tcMar>
            <w:vAlign w:val="center"/>
          </w:tcPr>
          <w:p>
            <w:pPr>
              <w:spacing w:after="0"/>
              <w:jc w:val="left"/>
            </w:pPr>
            <w:r/>
            <w:r>
              <w:rPr>
                <w:rFonts w:ascii="Aptos" w:hAnsi="Aptos"/>
                <w:b/>
                <w:color w:val="FFFFFF"/>
                <w:sz w:val="17"/>
              </w:rPr>
              <w:t>Verification</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Yes</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Remarks</w:t>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Approved drawings and specification available</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Material submission and sample approved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Work area and preceding trade released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Risk assessment and permits valid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Resources, access and calibrated tools ready</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Hold / witness points and notice periods confirmed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Interfaces with other trades coordinated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Environmental and emergency controls ready</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APPENDIX B — PROJECT-SPECIFIC AMENDMENTS</w:t>
      </w:r>
    </w:p>
    <w:p>
      <w:r>
        <w:rPr>
          <w:rFonts w:ascii="Aptos" w:hAnsi="Aptos"/>
          <w:b w:val="0"/>
          <w:color w:val="263442"/>
          <w:sz w:val="19"/>
        </w:rPr>
        <w:t>Record every project-specific change made to this template before submission.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Section</w:t>
            </w:r>
          </w:p>
        </w:tc>
        <w:tc>
          <w:tcPr>
            <w:tcW w:type="dxa" w:w="4535"/>
            <w:shd w:fill="071E33"/>
            <w:tcMar>
              <w:top w:w="120" w:type="dxa"/>
              <w:start w:w="140" w:type="dxa"/>
              <w:bottom w:w="120" w:type="dxa"/>
              <w:end w:w="140" w:type="dxa"/>
            </w:tcMar>
            <w:vAlign w:val="center"/>
          </w:tcPr>
          <w:p>
            <w:pPr>
              <w:spacing w:after="0"/>
              <w:jc w:val="left"/>
            </w:pPr>
            <w:r/>
            <w:r>
              <w:rPr>
                <w:rFonts w:ascii="Aptos" w:hAnsi="Aptos"/>
                <w:b/>
                <w:color w:val="FFFFFF"/>
                <w:sz w:val="17"/>
              </w:rPr>
              <w:t>Project-specific requirement / change</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Source / reference</w:t>
            </w:r>
          </w:p>
        </w:tc>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Initial</w:t>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val="0"/>
              <w:color w:val="5E6B78"/>
              <w:sz w:val="15"/>
            </w:rPr>
            <w:t>Editable template — project-specific review required</w:t>
          </w:r>
        </w:p>
      </w:tc>
      <w:tc>
        <w:tcPr>
          <w:tcW w:type="dxa" w:w="4392"/>
          <w:tcMar>
            <w:top w:w="120" w:type="dxa"/>
            <w:start w:w="140" w:type="dxa"/>
            <w:bottom w:w="120" w:type="dxa"/>
            <w:end w:w="140" w:type="dxa"/>
          </w:tcMar>
          <w:vAlign w:val="center"/>
        </w:tcPr>
        <w:p>
          <w:pPr>
            <w:spacing w:after="0"/>
            <w:jc w:val="right"/>
          </w:pPr>
          <w:r/>
          <w:r>
            <w:rPr>
              <w:rFonts w:ascii="Aptos" w:hAnsi="Aptos"/>
              <w:b w:val="0"/>
              <w:color w:val="5E6B78"/>
              <w:sz w:val="15"/>
            </w:rPr>
            <w:t>Controlled Copy: No</w:t>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MS-CRP-010</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Method Statement – Routing and Sealing of Non-Structural Cracks</dc:title>
  <dc:subject>Editable construction method statement template</dc:subject>
  <dc:creator>Method Statement Hub Malaysia</dc:creator>
  <cp:keywords>routing and sealing, non-structural crack, crack seal, concrete repair</cp:keywords>
  <dc:description>generated by python-docx</dc:description>
  <cp:lastModifiedBy/>
  <cp:revision>1</cp:revision>
  <dcterms:created xsi:type="dcterms:W3CDTF">2013-12-23T23:15:00Z</dcterms:created>
  <dcterms:modified xsi:type="dcterms:W3CDTF">2013-12-23T23:15:00Z</dcterms:modified>
  <cp:category/>
</cp:coreProperties>
</file>